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37" w:rsidRDefault="00941037" w:rsidP="00941037"/>
    <w:p w:rsidR="00941037" w:rsidRDefault="00941037" w:rsidP="00941037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Структура бюджета</w:t>
      </w:r>
    </w:p>
    <w:p w:rsidR="00941037" w:rsidRDefault="00941037" w:rsidP="00941037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Администрации </w:t>
      </w:r>
      <w:proofErr w:type="spellStart"/>
      <w:r>
        <w:rPr>
          <w:b/>
          <w:sz w:val="36"/>
          <w:szCs w:val="36"/>
        </w:rPr>
        <w:t>Ножовского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941037" w:rsidRDefault="00941037" w:rsidP="0094103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год</w:t>
      </w:r>
    </w:p>
    <w:p w:rsidR="00941037" w:rsidRDefault="00941037" w:rsidP="00941037">
      <w:pPr>
        <w:pStyle w:val="a3"/>
        <w:rPr>
          <w:b/>
          <w:sz w:val="36"/>
          <w:szCs w:val="36"/>
        </w:rPr>
      </w:pPr>
    </w:p>
    <w:p w:rsidR="00941037" w:rsidRDefault="00941037" w:rsidP="00941037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6115050" cy="5810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41037" w:rsidRDefault="00941037" w:rsidP="00941037">
      <w:pPr>
        <w:pStyle w:val="a3"/>
        <w:jc w:val="center"/>
        <w:rPr>
          <w:b/>
          <w:sz w:val="36"/>
          <w:szCs w:val="36"/>
        </w:rPr>
      </w:pPr>
    </w:p>
    <w:p w:rsidR="00941037" w:rsidRDefault="00941037" w:rsidP="00941037">
      <w:pPr>
        <w:pStyle w:val="a3"/>
        <w:jc w:val="center"/>
        <w:rPr>
          <w:b/>
          <w:sz w:val="36"/>
          <w:szCs w:val="36"/>
        </w:rPr>
      </w:pPr>
    </w:p>
    <w:p w:rsidR="00941037" w:rsidRDefault="00941037" w:rsidP="00941037">
      <w:pPr>
        <w:pStyle w:val="a3"/>
        <w:rPr>
          <w:b/>
          <w:sz w:val="36"/>
          <w:szCs w:val="36"/>
        </w:rPr>
      </w:pPr>
    </w:p>
    <w:p w:rsidR="00941037" w:rsidRDefault="00941037" w:rsidP="00941037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219825" cy="76104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2801" w:rsidRDefault="00302801"/>
    <w:sectPr w:rsidR="0030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037"/>
    <w:rsid w:val="00302801"/>
    <w:rsid w:val="0094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037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7.61700242015204E-2"/>
          <c:y val="0.10097945073938942"/>
          <c:w val="0.59837406687800443"/>
          <c:h val="0.899020549260610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showPercent val="1"/>
          </c:dLbls>
          <c:cat>
            <c:strRef>
              <c:f>Лист1!$A$2:$A$13</c:f>
              <c:strCache>
                <c:ptCount val="12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использования имущества,находящиеся в муниципальной собственности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неналоговые доходы</c:v>
                </c:pt>
                <c:pt idx="7">
                  <c:v>Дотации бюджетам поселений</c:v>
                </c:pt>
                <c:pt idx="8">
                  <c:v>Прочие межбюджетные трансферты</c:v>
                </c:pt>
                <c:pt idx="9">
                  <c:v>Субвенции бюджетам поселений</c:v>
                </c:pt>
                <c:pt idx="10">
                  <c:v>Государственная пошлина</c:v>
                </c:pt>
                <c:pt idx="11">
                  <c:v>Транспортный налог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0.27</c:v>
                </c:pt>
                <c:pt idx="1">
                  <c:v>4.0000000000000022E-2</c:v>
                </c:pt>
                <c:pt idx="2">
                  <c:v>2.0000000000000011E-2</c:v>
                </c:pt>
                <c:pt idx="3">
                  <c:v>6.0000000000000032E-2</c:v>
                </c:pt>
                <c:pt idx="4">
                  <c:v>1.0000000000000005E-2</c:v>
                </c:pt>
                <c:pt idx="5">
                  <c:v>1.0000000000000005E-2</c:v>
                </c:pt>
                <c:pt idx="6">
                  <c:v>0.1</c:v>
                </c:pt>
                <c:pt idx="7">
                  <c:v>0.30000000000000032</c:v>
                </c:pt>
                <c:pt idx="8">
                  <c:v>0.1</c:v>
                </c:pt>
                <c:pt idx="9">
                  <c:v>2.0000000000000011E-2</c:v>
                </c:pt>
                <c:pt idx="10">
                  <c:v>1.0000000000000005E-2</c:v>
                </c:pt>
                <c:pt idx="11">
                  <c:v>6.0000000000000032E-2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70172112860892499"/>
          <c:y val="1.3008201561011779E-2"/>
          <c:w val="0.29569161809319211"/>
          <c:h val="0.97641047308110862"/>
        </c:manualLayout>
      </c:layout>
      <c:txPr>
        <a:bodyPr/>
        <a:lstStyle/>
        <a:p>
          <a:pPr>
            <a:defRPr sz="80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</c:title>
    <c:plotArea>
      <c:layout>
        <c:manualLayout>
          <c:layoutTarget val="inner"/>
          <c:xMode val="edge"/>
          <c:yMode val="edge"/>
          <c:x val="0.10184194717595786"/>
          <c:y val="0.24727882698873163"/>
          <c:w val="0.58638266990819521"/>
          <c:h val="0.4783648096619516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howPercent val="1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Социальная политика</c:v>
                </c:pt>
                <c:pt idx="7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%">
                  <c:v>0.28600000000000031</c:v>
                </c:pt>
                <c:pt idx="1">
                  <c:v>1.0000000000000005E-2</c:v>
                </c:pt>
                <c:pt idx="2" formatCode="0.0%">
                  <c:v>0.14500000000000016</c:v>
                </c:pt>
                <c:pt idx="3" formatCode="0.0%">
                  <c:v>9.8000000000000129E-2</c:v>
                </c:pt>
                <c:pt idx="4" formatCode="0.0%">
                  <c:v>2.0000000000000026E-3</c:v>
                </c:pt>
                <c:pt idx="5" formatCode="0.0%">
                  <c:v>0.36300000000000032</c:v>
                </c:pt>
                <c:pt idx="6" formatCode="0.0%">
                  <c:v>9.3000000000000138E-2</c:v>
                </c:pt>
                <c:pt idx="7" formatCode="0.0%">
                  <c:v>3.0000000000000027E-3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72527531426992675"/>
          <c:y val="7.8861971521852453E-2"/>
          <c:w val="0.25822111709720497"/>
          <c:h val="0.9211380284781476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2015-10-13T09:08:00Z</dcterms:created>
  <dcterms:modified xsi:type="dcterms:W3CDTF">2015-10-13T09:08:00Z</dcterms:modified>
</cp:coreProperties>
</file>