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EF" w:rsidRDefault="00E537EF" w:rsidP="00E537EF">
      <w:pPr>
        <w:pStyle w:val="1"/>
      </w:pPr>
      <w:r>
        <w:rPr>
          <w:noProof/>
          <w:lang w:val="ru-RU" w:eastAsia="ru-RU"/>
        </w:rPr>
        <w:drawing>
          <wp:inline distT="0" distB="0" distL="0" distR="0" wp14:anchorId="44DF20D5" wp14:editId="3EFB6F09">
            <wp:extent cx="3375025" cy="128016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EF" w:rsidRDefault="00E537EF" w:rsidP="00E537EF"/>
    <w:p w:rsidR="00E537EF" w:rsidRDefault="00E537EF" w:rsidP="00E537E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537EF" w:rsidRPr="00CF34CE" w:rsidRDefault="00E537EF" w:rsidP="00E537E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CF34CE">
        <w:rPr>
          <w:rFonts w:ascii="Segoe UI" w:hAnsi="Segoe UI" w:cs="Segoe UI"/>
          <w:b/>
          <w:sz w:val="28"/>
          <w:szCs w:val="28"/>
        </w:rPr>
        <w:t xml:space="preserve">Результат </w:t>
      </w:r>
      <w:r>
        <w:rPr>
          <w:rFonts w:ascii="Segoe UI" w:hAnsi="Segoe UI" w:cs="Segoe UI"/>
          <w:b/>
          <w:sz w:val="28"/>
          <w:szCs w:val="28"/>
        </w:rPr>
        <w:t>«</w:t>
      </w:r>
      <w:r w:rsidRPr="00CF34CE">
        <w:rPr>
          <w:rFonts w:ascii="Segoe UI" w:hAnsi="Segoe UI" w:cs="Segoe UI"/>
          <w:b/>
          <w:sz w:val="28"/>
          <w:szCs w:val="28"/>
        </w:rPr>
        <w:t>не за горами</w:t>
      </w:r>
      <w:r>
        <w:rPr>
          <w:rFonts w:ascii="Segoe UI" w:hAnsi="Segoe UI" w:cs="Segoe UI"/>
          <w:b/>
          <w:sz w:val="28"/>
          <w:szCs w:val="28"/>
        </w:rPr>
        <w:t>»</w:t>
      </w:r>
      <w:r w:rsidRPr="00CF34CE">
        <w:rPr>
          <w:rFonts w:ascii="Segoe UI" w:hAnsi="Segoe UI" w:cs="Segoe UI"/>
          <w:b/>
          <w:sz w:val="28"/>
          <w:szCs w:val="28"/>
        </w:rPr>
        <w:t xml:space="preserve"> при совместной деятельности участников соглашения</w:t>
      </w:r>
    </w:p>
    <w:p w:rsidR="00E537EF" w:rsidRPr="00CF34CE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bookmarkEnd w:id="0"/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>Приобретение недвижимости в настоящее время является очень серьезным шагом. Однако долгожданный момент полноправного владения заветной недвижимостью может быть затянут самими участниками соглашения.</w:t>
      </w:r>
    </w:p>
    <w:p w:rsidR="00E537EF" w:rsidRPr="002348E7" w:rsidRDefault="00E537EF" w:rsidP="00E53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 xml:space="preserve">Перед приобретением недвижимости в строящемся доме заключается договор долевого участия. Законодательные нормы, регламентирующие долевое строительство, устанавливают необходимость государственной регистрации такого договора, который считается заключенным с момента регистрации в </w:t>
      </w:r>
      <w:proofErr w:type="spellStart"/>
      <w:r w:rsidRPr="002348E7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Pr="002348E7">
        <w:rPr>
          <w:rFonts w:ascii="Segoe UI" w:hAnsi="Segoe UI" w:cs="Segoe UI"/>
          <w:sz w:val="28"/>
          <w:szCs w:val="28"/>
        </w:rPr>
        <w:t>.</w:t>
      </w:r>
    </w:p>
    <w:p w:rsidR="00E537EF" w:rsidRPr="002348E7" w:rsidRDefault="00E537EF" w:rsidP="00E53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>Рассмотрение документов по заявлению о государственной регистрации договора долевого участия при представлении документов через многофункциональный центр (далее – МФЦ) осуществляется в течение 7 рабочих дней, а рассмотрение аналогичных документов, представленных в регистрирующий орган в электронном формате</w:t>
      </w:r>
      <w:r w:rsidR="00FA2CD5">
        <w:rPr>
          <w:rFonts w:ascii="Segoe UI" w:hAnsi="Segoe UI" w:cs="Segoe UI"/>
          <w:sz w:val="28"/>
          <w:szCs w:val="28"/>
        </w:rPr>
        <w:t>,</w:t>
      </w:r>
      <w:r w:rsidRPr="002348E7">
        <w:rPr>
          <w:rFonts w:ascii="Segoe UI" w:hAnsi="Segoe UI" w:cs="Segoe UI"/>
          <w:sz w:val="28"/>
          <w:szCs w:val="28"/>
        </w:rPr>
        <w:t xml:space="preserve"> осуществляется в течение 5 рабочих дней. </w:t>
      </w:r>
    </w:p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Получение государственных услуг в электронном формате все больше набирает популярность, потому что это удобно, быстро, а граждане могут сэкономить 30% от суммы государственной пошлины. Сфера предоставления государственных услуг в электронном формате доступна через сервис «Личный кабинет», размещенный на официальном сайте Росреестра </w:t>
      </w:r>
      <w:hyperlink r:id="rId5" w:history="1">
        <w:r w:rsidRPr="002348E7">
          <w:rPr>
            <w:rStyle w:val="a3"/>
            <w:rFonts w:ascii="Segoe UI" w:eastAsia="Arial Unicode MS" w:hAnsi="Segoe UI" w:cs="Segoe UI"/>
            <w:kern w:val="2"/>
            <w:sz w:val="28"/>
            <w:szCs w:val="28"/>
            <w:lang w:eastAsia="hi-IN" w:bidi="hi-IN"/>
          </w:rPr>
          <w:t>https://rosreestr.ru</w:t>
        </w:r>
      </w:hyperlink>
      <w:r w:rsidRPr="002348E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</w:t>
      </w:r>
    </w:p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>Электронный формат предоставления документов позволяет разрешить вопросы полноты документов, а также соблюсти требования действующего законодательства: одновременно представить заявления о государственной регистрации всеми участниками договора долевого участия.</w:t>
      </w:r>
    </w:p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lastRenderedPageBreak/>
        <w:t>Именно несоблюдение этого требования сегодня является массовой причиной приостановлений.</w:t>
      </w:r>
    </w:p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>Исключить данное основание для приостановления возможно посредством направления документов участниками соглашения в электронном формате.</w:t>
      </w:r>
    </w:p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>Иной вариант – это плановая сдача документов всеми участниками соглашения, договора через МФЦ. Для этого существует возможность предварительной записи.</w:t>
      </w:r>
    </w:p>
    <w:p w:rsidR="00E537EF" w:rsidRPr="002348E7" w:rsidRDefault="00E537EF" w:rsidP="00E537E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8E7">
        <w:rPr>
          <w:rFonts w:ascii="Segoe UI" w:hAnsi="Segoe UI" w:cs="Segoe UI"/>
          <w:sz w:val="28"/>
          <w:szCs w:val="28"/>
        </w:rPr>
        <w:t>Выбор способа подачи документов остается за участниками.</w:t>
      </w:r>
    </w:p>
    <w:p w:rsidR="00E537EF" w:rsidRDefault="00E537EF" w:rsidP="00E537EF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DF7613" wp14:editId="6DC18D84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61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E537EF" w:rsidRPr="005102F0" w:rsidRDefault="00E537EF" w:rsidP="00E537E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E537EF" w:rsidRPr="005102F0" w:rsidRDefault="00E537EF" w:rsidP="00E537EF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537EF" w:rsidRPr="0057321A" w:rsidRDefault="00DF4FB5" w:rsidP="00E537E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E537EF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E537EF" w:rsidRPr="006C76A7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E537EF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E537EF" w:rsidRPr="006C76A7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E537EF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E537EF" w:rsidRPr="006C76A7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E537EF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E537EF" w:rsidRPr="0057321A" w:rsidRDefault="00E537EF" w:rsidP="00E537E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E537EF" w:rsidRDefault="00E537EF" w:rsidP="00E537E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537EF" w:rsidRDefault="00E537EF" w:rsidP="00E537EF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E537EF" w:rsidRPr="00BC721B" w:rsidRDefault="00E537EF" w:rsidP="00E537EF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537EF" w:rsidRDefault="00E537EF" w:rsidP="00E537E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p w:rsidR="00531A23" w:rsidRDefault="00531A23"/>
    <w:sectPr w:rsidR="005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2"/>
    <w:rsid w:val="002348E7"/>
    <w:rsid w:val="00531A23"/>
    <w:rsid w:val="00DF4FB5"/>
    <w:rsid w:val="00E537EF"/>
    <w:rsid w:val="00F07902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93D0A-B2AA-414E-86D8-27FD046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E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37E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7E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E537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7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Аксарина_НА</dc:creator>
  <cp:lastModifiedBy>Irbis</cp:lastModifiedBy>
  <cp:revision>2</cp:revision>
  <dcterms:created xsi:type="dcterms:W3CDTF">2019-09-16T07:23:00Z</dcterms:created>
  <dcterms:modified xsi:type="dcterms:W3CDTF">2019-09-16T07:23:00Z</dcterms:modified>
</cp:coreProperties>
</file>