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87" w:rsidRDefault="00804C87" w:rsidP="00804C87">
      <w:pPr>
        <w:pStyle w:val="1"/>
        <w:rPr>
          <w:kern w:val="32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371850" cy="1285875"/>
            <wp:effectExtent l="0" t="0" r="0" b="9525"/>
            <wp:docPr id="3" name="Рисунок 3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87" w:rsidRDefault="00804C87" w:rsidP="00804C87"/>
    <w:p w:rsidR="00804C87" w:rsidRDefault="00804C87" w:rsidP="00804C87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04C87" w:rsidRDefault="00804C87" w:rsidP="00804C87">
      <w:pPr>
        <w:spacing w:line="312" w:lineRule="auto"/>
        <w:ind w:firstLine="708"/>
        <w:jc w:val="center"/>
        <w:rPr>
          <w:rFonts w:ascii="Segoe UI" w:hAnsi="Segoe UI" w:cs="Segoe UI"/>
          <w:b/>
          <w:kern w:val="2"/>
        </w:rPr>
      </w:pPr>
      <w:bookmarkStart w:id="0" w:name="_GoBack"/>
      <w:r>
        <w:rPr>
          <w:rFonts w:ascii="Segoe UI" w:hAnsi="Segoe UI" w:cs="Segoe UI"/>
          <w:b/>
          <w:kern w:val="2"/>
        </w:rPr>
        <w:t>Подарок к Новому году для бизнеса: расширен перечень сведений, которые будут поступать в орган регистрации недвижимости без участия заявителя</w:t>
      </w:r>
    </w:p>
    <w:bookmarkEnd w:id="0"/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b/>
          <w:kern w:val="2"/>
        </w:rPr>
      </w:pPr>
      <w:r>
        <w:rPr>
          <w:rFonts w:ascii="Segoe UI" w:hAnsi="Segoe UI" w:cs="Segoe UI"/>
          <w:b/>
          <w:kern w:val="2"/>
        </w:rPr>
        <w:t>«Дорожной картой» о внедрении целевых моделей упрощения процедур ведения бизнеса и повышения инвестиционной привлекательности Пермского края был определен перечень межведомственных запросов из восьми видов сведений. Таким образом заявитель был избавлен от необходимости самостоятельного получения дополнительных документов в различных структурах для предоставления их в регистрирующий орган. Тем самым экономится время и материальные затраты представителей бизнеса при оформлении прав на недвижимость. В 2018 году этот список был дополнен.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В целях достижения показателей «Дорожной карты» перечень межведомственных запросов расширен следующими сведениями: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1.</w:t>
      </w:r>
      <w:r>
        <w:rPr>
          <w:rFonts w:ascii="Segoe UI" w:hAnsi="Segoe UI" w:cs="Segoe UI"/>
          <w:kern w:val="2"/>
        </w:rPr>
        <w:tab/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разрешение);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2.</w:t>
      </w:r>
      <w:r>
        <w:rPr>
          <w:rFonts w:ascii="Segoe UI" w:hAnsi="Segoe UI" w:cs="Segoe UI"/>
          <w:kern w:val="2"/>
        </w:rPr>
        <w:tab/>
        <w:t>проект планировки территории и проект межевания территории;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3.</w:t>
      </w:r>
      <w:r>
        <w:rPr>
          <w:rFonts w:ascii="Segoe UI" w:hAnsi="Segoe UI" w:cs="Segoe UI"/>
          <w:kern w:val="2"/>
        </w:rPr>
        <w:tab/>
        <w:t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земельный участок предстоит образовать (при предоставлении земельного участка в аренду без проведения торгов);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4.</w:t>
      </w:r>
      <w:r>
        <w:rPr>
          <w:rFonts w:ascii="Segoe UI" w:hAnsi="Segoe UI" w:cs="Segoe UI"/>
          <w:kern w:val="2"/>
        </w:rPr>
        <w:tab/>
        <w:t>сведения из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торгов).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lastRenderedPageBreak/>
        <w:t>Процесс электронного межведомственного взаимодействия в Пермском крае постоянно совершенствуется, так как является одним из самых эффективных факторов, влияющих на сокращение сроков оказания государственных и муниципальных услуг.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 xml:space="preserve">Ранее в рамках электронного межведомственного взаимодействия в регистрирующий орган поступала информация по восьми видам сведений. Это информация о решении органа местного самоуправления о переводе жилого помещения в нежилое, нежилого помещения – в жилое; разрешение на строительство и ввод в эксплуатацию объекта капитального строительства; сведения из </w:t>
      </w:r>
      <w:proofErr w:type="spellStart"/>
      <w:r>
        <w:rPr>
          <w:rFonts w:ascii="Segoe UI" w:hAnsi="Segoe UI" w:cs="Segoe UI"/>
          <w:kern w:val="2"/>
        </w:rPr>
        <w:t>похозяйственной</w:t>
      </w:r>
      <w:proofErr w:type="spellEnd"/>
      <w:r>
        <w:rPr>
          <w:rFonts w:ascii="Segoe UI" w:hAnsi="Segoe UI" w:cs="Segoe UI"/>
          <w:kern w:val="2"/>
        </w:rPr>
        <w:t xml:space="preserve"> книги о наличии у гражданина права на земельный участок; выписку из домовой книги; документ, подтверждающий принадлежность земельного участка к определенной категории земель; документ, подтверждающий установленное разрешенное использование земельного участка; сведения о принадлежности имущества к государственной собственности субъекта Российской Федерации, либо муниципальной собственности; 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хозяйства.</w:t>
      </w: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</w:p>
    <w:p w:rsidR="00804C87" w:rsidRDefault="00804C87" w:rsidP="00804C87">
      <w:pPr>
        <w:spacing w:line="312" w:lineRule="auto"/>
        <w:ind w:firstLine="708"/>
        <w:jc w:val="both"/>
        <w:rPr>
          <w:rFonts w:ascii="Segoe UI" w:hAnsi="Segoe UI" w:cs="Segoe UI"/>
          <w:kern w:val="2"/>
        </w:rPr>
      </w:pPr>
      <w:r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53974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0C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.4pt;margin-top:4.2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" strokecolor="#0070c0" strokeweight="1.25pt"/>
            </w:pict>
          </mc:Fallback>
        </mc:AlternateContent>
      </w:r>
    </w:p>
    <w:p w:rsidR="00804C87" w:rsidRDefault="00804C87" w:rsidP="00804C87">
      <w:pPr>
        <w:jc w:val="both"/>
        <w:rPr>
          <w:rFonts w:ascii="Segoe UI" w:eastAsia="Calibri" w:hAnsi="Segoe UI" w:cs="Segoe UI"/>
          <w:kern w:val="0"/>
          <w:sz w:val="22"/>
          <w:szCs w:val="22"/>
          <w:lang w:eastAsia="en-US" w:bidi="ar-SA"/>
        </w:rPr>
      </w:pPr>
      <w:r>
        <w:rPr>
          <w:rFonts w:ascii="Segoe UI" w:hAnsi="Segoe UI" w:cs="Segoe UI"/>
        </w:rPr>
        <w:t xml:space="preserve">Об Управлении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Пермскому краю</w:t>
      </w:r>
    </w:p>
    <w:p w:rsidR="00804C87" w:rsidRDefault="00804C87" w:rsidP="00804C87">
      <w:pPr>
        <w:widowControl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kern w:val="2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kern w:val="2"/>
          <w:sz w:val="18"/>
          <w:szCs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kern w:val="2"/>
          <w:sz w:val="18"/>
          <w:szCs w:val="18"/>
        </w:rPr>
        <w:t xml:space="preserve"> - филиала ФГБУ «ФКП </w:t>
      </w:r>
      <w:proofErr w:type="spellStart"/>
      <w:r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kern w:val="2"/>
          <w:sz w:val="18"/>
          <w:szCs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kern w:val="2"/>
          <w:sz w:val="18"/>
          <w:szCs w:val="18"/>
        </w:rPr>
        <w:t xml:space="preserve">. Руководитель Управления </w:t>
      </w:r>
      <w:proofErr w:type="spellStart"/>
      <w:r>
        <w:rPr>
          <w:rFonts w:ascii="Segoe UI" w:hAnsi="Segoe UI" w:cs="Segoe UI"/>
          <w:kern w:val="2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kern w:val="2"/>
          <w:sz w:val="18"/>
          <w:szCs w:val="18"/>
        </w:rPr>
        <w:t xml:space="preserve"> по Пермскому краю – Лариса </w:t>
      </w:r>
      <w:proofErr w:type="spellStart"/>
      <w:r>
        <w:rPr>
          <w:rFonts w:ascii="Segoe UI" w:hAnsi="Segoe UI" w:cs="Segoe UI"/>
          <w:kern w:val="2"/>
          <w:sz w:val="18"/>
          <w:szCs w:val="18"/>
        </w:rPr>
        <w:t>Аржевитина</w:t>
      </w:r>
      <w:proofErr w:type="spellEnd"/>
      <w:r>
        <w:rPr>
          <w:rFonts w:ascii="Segoe UI" w:hAnsi="Segoe UI" w:cs="Segoe UI"/>
          <w:kern w:val="2"/>
          <w:sz w:val="18"/>
          <w:szCs w:val="18"/>
        </w:rPr>
        <w:t>.</w:t>
      </w:r>
    </w:p>
    <w:p w:rsidR="00804C87" w:rsidRDefault="00804C87" w:rsidP="00804C87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>
          <w:rPr>
            <w:rStyle w:val="a5"/>
            <w:rFonts w:ascii="Segoe UI" w:hAnsi="Segoe UI" w:cs="Segoe UI"/>
            <w:b/>
            <w:noProof/>
            <w:lang w:val="en-US" w:eastAsia="sk-SK"/>
          </w:rPr>
          <w:t>http</w:t>
        </w:r>
        <w:r>
          <w:rPr>
            <w:rStyle w:val="a5"/>
            <w:rFonts w:ascii="Segoe UI" w:hAnsi="Segoe UI" w:cs="Segoe UI"/>
            <w:b/>
            <w:noProof/>
            <w:lang w:eastAsia="sk-SK"/>
          </w:rPr>
          <w:t>://</w:t>
        </w:r>
        <w:r>
          <w:rPr>
            <w:rStyle w:val="a5"/>
            <w:rFonts w:ascii="Segoe UI" w:hAnsi="Segoe UI" w:cs="Segoe UI"/>
            <w:b/>
            <w:noProof/>
            <w:lang w:val="en-US" w:eastAsia="sk-SK"/>
          </w:rPr>
          <w:t>rosreestr</w:t>
        </w:r>
        <w:r>
          <w:rPr>
            <w:rStyle w:val="a5"/>
            <w:rFonts w:ascii="Segoe UI" w:hAnsi="Segoe UI" w:cs="Segoe UI"/>
            <w:b/>
            <w:noProof/>
            <w:lang w:eastAsia="sk-SK"/>
          </w:rPr>
          <w:t>.</w:t>
        </w:r>
        <w:r>
          <w:rPr>
            <w:rStyle w:val="a5"/>
            <w:rFonts w:ascii="Segoe UI" w:hAnsi="Segoe UI" w:cs="Segoe UI"/>
            <w:b/>
            <w:noProof/>
            <w:lang w:val="en-US" w:eastAsia="sk-SK"/>
          </w:rPr>
          <w:t>ru</w:t>
        </w:r>
        <w:r>
          <w:rPr>
            <w:rStyle w:val="a5"/>
            <w:rFonts w:ascii="Segoe UI" w:hAnsi="Segoe UI" w:cs="Segoe UI"/>
            <w:b/>
            <w:noProof/>
            <w:lang w:eastAsia="sk-SK"/>
          </w:rPr>
          <w:t>/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804C87" w:rsidRDefault="00804C87" w:rsidP="00804C87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04C87" w:rsidRDefault="00804C87" w:rsidP="00804C87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04C87" w:rsidRDefault="00804C87" w:rsidP="00804C87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804C87" w:rsidRDefault="00804C87" w:rsidP="00804C87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04C87" w:rsidRDefault="00804C87" w:rsidP="00804C87">
      <w:pPr>
        <w:pStyle w:val="a7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(342)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205-95-58 (доб. 0214, 0216)</w:t>
      </w:r>
    </w:p>
    <w:p w:rsidR="007D5554" w:rsidRPr="00804C87" w:rsidRDefault="007D5554" w:rsidP="00804C87"/>
    <w:sectPr w:rsidR="007D5554" w:rsidRPr="00804C87" w:rsidSect="00DE004F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26" w:rsidRDefault="00696426">
      <w:r>
        <w:separator/>
      </w:r>
    </w:p>
  </w:endnote>
  <w:endnote w:type="continuationSeparator" w:id="0">
    <w:p w:rsidR="00696426" w:rsidRDefault="0069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26" w:rsidRDefault="00696426">
      <w:r>
        <w:separator/>
      </w:r>
    </w:p>
  </w:footnote>
  <w:footnote w:type="continuationSeparator" w:id="0">
    <w:p w:rsidR="00696426" w:rsidRDefault="0069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DB" w:rsidRDefault="00C1439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C87">
      <w:rPr>
        <w:noProof/>
      </w:rPr>
      <w:t>2</w:t>
    </w:r>
    <w:r>
      <w:fldChar w:fldCharType="end"/>
    </w:r>
  </w:p>
  <w:p w:rsidR="005A09DB" w:rsidRDefault="006964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F11"/>
    <w:multiLevelType w:val="multilevel"/>
    <w:tmpl w:val="5512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2A51"/>
    <w:multiLevelType w:val="multilevel"/>
    <w:tmpl w:val="1C30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58E8"/>
    <w:multiLevelType w:val="multilevel"/>
    <w:tmpl w:val="005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F5A45"/>
    <w:multiLevelType w:val="multilevel"/>
    <w:tmpl w:val="A712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E4"/>
    <w:rsid w:val="00021229"/>
    <w:rsid w:val="000E65A4"/>
    <w:rsid w:val="00125E7C"/>
    <w:rsid w:val="00181B5F"/>
    <w:rsid w:val="001F4AD9"/>
    <w:rsid w:val="001F796F"/>
    <w:rsid w:val="002216D3"/>
    <w:rsid w:val="00246DE5"/>
    <w:rsid w:val="00251E72"/>
    <w:rsid w:val="002F0A93"/>
    <w:rsid w:val="002F1011"/>
    <w:rsid w:val="002F1374"/>
    <w:rsid w:val="00323280"/>
    <w:rsid w:val="00363D92"/>
    <w:rsid w:val="003C754A"/>
    <w:rsid w:val="00455F8C"/>
    <w:rsid w:val="004C26C3"/>
    <w:rsid w:val="00542E6D"/>
    <w:rsid w:val="005D27B8"/>
    <w:rsid w:val="005F0763"/>
    <w:rsid w:val="00664F31"/>
    <w:rsid w:val="00696426"/>
    <w:rsid w:val="007546FE"/>
    <w:rsid w:val="00777C0B"/>
    <w:rsid w:val="007D3165"/>
    <w:rsid w:val="007D4621"/>
    <w:rsid w:val="007D5554"/>
    <w:rsid w:val="007E057F"/>
    <w:rsid w:val="00804C87"/>
    <w:rsid w:val="008C7B00"/>
    <w:rsid w:val="00937CE9"/>
    <w:rsid w:val="009C445A"/>
    <w:rsid w:val="009C66E4"/>
    <w:rsid w:val="009F0587"/>
    <w:rsid w:val="00A52F3C"/>
    <w:rsid w:val="00A65944"/>
    <w:rsid w:val="00AC576B"/>
    <w:rsid w:val="00AE6256"/>
    <w:rsid w:val="00AE6C2D"/>
    <w:rsid w:val="00B51E5D"/>
    <w:rsid w:val="00B8254E"/>
    <w:rsid w:val="00B94708"/>
    <w:rsid w:val="00C112D8"/>
    <w:rsid w:val="00C1439F"/>
    <w:rsid w:val="00D84834"/>
    <w:rsid w:val="00D84BE6"/>
    <w:rsid w:val="00DE026F"/>
    <w:rsid w:val="00E40BB3"/>
    <w:rsid w:val="00F13F39"/>
    <w:rsid w:val="00F675A6"/>
    <w:rsid w:val="00F966B5"/>
    <w:rsid w:val="00FB62E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B3F7-DA8E-492A-8C93-83FDBDD2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2D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C7B00"/>
    <w:pPr>
      <w:keepNext/>
      <w:suppressAutoHyphens w:val="0"/>
      <w:outlineLvl w:val="0"/>
    </w:pPr>
    <w:rPr>
      <w:rFonts w:ascii="Arial" w:eastAsia="Times New Roman" w:hAnsi="Arial" w:cs="Times New Roman"/>
      <w:kern w:val="0"/>
      <w:szCs w:val="2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11"/>
    <w:pPr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E6C2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8C7B00"/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styleId="a5">
    <w:name w:val="Hyperlink"/>
    <w:uiPriority w:val="99"/>
    <w:unhideWhenUsed/>
    <w:rsid w:val="008C7B00"/>
    <w:rPr>
      <w:color w:val="0000FF"/>
      <w:u w:val="single"/>
    </w:rPr>
  </w:style>
  <w:style w:type="paragraph" w:customStyle="1" w:styleId="FR1">
    <w:name w:val="FR1"/>
    <w:rsid w:val="008C7B0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Emphasis"/>
    <w:basedOn w:val="a0"/>
    <w:uiPriority w:val="20"/>
    <w:qFormat/>
    <w:rsid w:val="008C7B00"/>
    <w:rPr>
      <w:i/>
      <w:iCs/>
    </w:rPr>
  </w:style>
  <w:style w:type="paragraph" w:styleId="a7">
    <w:name w:val="Normal (Web)"/>
    <w:basedOn w:val="a"/>
    <w:uiPriority w:val="99"/>
    <w:unhideWhenUsed/>
    <w:rsid w:val="00B8254E"/>
    <w:pPr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C1439F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C1439F"/>
    <w:rPr>
      <w:rFonts w:ascii="Calibri" w:eastAsia="Calibri" w:hAnsi="Calibri" w:cs="Times New Roman"/>
    </w:rPr>
  </w:style>
  <w:style w:type="paragraph" w:customStyle="1" w:styleId="Default">
    <w:name w:val="Default"/>
    <w:rsid w:val="001F4AD9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181B5F"/>
    <w:pPr>
      <w:widowControl w:val="0"/>
      <w:spacing w:after="120"/>
    </w:pPr>
    <w:rPr>
      <w:rFonts w:eastAsia="Andale Sans UI" w:cs="Times New Roman"/>
      <w:sz w:val="16"/>
      <w:szCs w:val="16"/>
      <w:lang w:bidi="ar-SA"/>
    </w:rPr>
  </w:style>
  <w:style w:type="paragraph" w:customStyle="1" w:styleId="aa">
    <w:name w:val="Содержимое таблицы"/>
    <w:basedOn w:val="a"/>
    <w:rsid w:val="003C754A"/>
    <w:pPr>
      <w:widowControl w:val="0"/>
      <w:suppressLineNumbers/>
    </w:pPr>
    <w:rPr>
      <w:rFonts w:eastAsia="Andale Sans UI" w:cs="Times New Roman"/>
      <w:kern w:val="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47</cp:revision>
  <cp:lastPrinted>2018-11-20T09:38:00Z</cp:lastPrinted>
  <dcterms:created xsi:type="dcterms:W3CDTF">2018-11-12T11:28:00Z</dcterms:created>
  <dcterms:modified xsi:type="dcterms:W3CDTF">2019-01-10T08:30:00Z</dcterms:modified>
</cp:coreProperties>
</file>