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D5" w:rsidRPr="006C63D5" w:rsidRDefault="006C63D5" w:rsidP="006C63D5">
      <w:pPr>
        <w:suppressAutoHyphens w:val="0"/>
        <w:jc w:val="center"/>
        <w:rPr>
          <w:b/>
          <w:sz w:val="28"/>
          <w:szCs w:val="22"/>
          <w:lang w:eastAsia="ru-RU"/>
        </w:rPr>
      </w:pPr>
      <w:r w:rsidRPr="006C63D5">
        <w:rPr>
          <w:b/>
          <w:sz w:val="28"/>
          <w:szCs w:val="22"/>
          <w:lang w:eastAsia="ru-RU"/>
        </w:rPr>
        <w:t>Муниципальное унитарное предприятие</w:t>
      </w:r>
    </w:p>
    <w:p w:rsidR="006C63D5" w:rsidRPr="006C63D5" w:rsidRDefault="006C63D5" w:rsidP="006C63D5">
      <w:pPr>
        <w:suppressAutoHyphens w:val="0"/>
        <w:jc w:val="center"/>
        <w:rPr>
          <w:b/>
          <w:sz w:val="28"/>
          <w:szCs w:val="22"/>
          <w:lang w:eastAsia="ru-RU"/>
        </w:rPr>
      </w:pPr>
      <w:r w:rsidRPr="006C63D5">
        <w:rPr>
          <w:b/>
          <w:sz w:val="28"/>
          <w:szCs w:val="22"/>
          <w:lang w:eastAsia="ru-RU"/>
        </w:rPr>
        <w:t>жилищно-коммунального хозяйства «Рассвет»</w:t>
      </w:r>
      <w:bookmarkStart w:id="0" w:name="_GoBack"/>
      <w:bookmarkEnd w:id="0"/>
    </w:p>
    <w:p w:rsidR="006C63D5" w:rsidRPr="006C63D5" w:rsidRDefault="006C63D5" w:rsidP="006C63D5">
      <w:pPr>
        <w:suppressAutoHyphens w:val="0"/>
        <w:jc w:val="center"/>
        <w:rPr>
          <w:b/>
          <w:sz w:val="28"/>
          <w:szCs w:val="22"/>
          <w:lang w:eastAsia="ru-RU"/>
        </w:rPr>
      </w:pPr>
    </w:p>
    <w:p w:rsidR="006C63D5" w:rsidRPr="006C63D5" w:rsidRDefault="006C63D5" w:rsidP="006C63D5">
      <w:pPr>
        <w:suppressAutoHyphens w:val="0"/>
        <w:jc w:val="center"/>
        <w:rPr>
          <w:b/>
          <w:sz w:val="28"/>
          <w:szCs w:val="22"/>
          <w:lang w:eastAsia="ru-RU"/>
        </w:rPr>
      </w:pPr>
      <w:r w:rsidRPr="006C63D5">
        <w:rPr>
          <w:b/>
          <w:sz w:val="28"/>
          <w:szCs w:val="22"/>
          <w:lang w:eastAsia="ru-RU"/>
        </w:rPr>
        <w:t>Отчет о проделанной работе за 2017г.</w:t>
      </w:r>
    </w:p>
    <w:p w:rsidR="006C63D5" w:rsidRPr="006C63D5" w:rsidRDefault="006C63D5" w:rsidP="006C63D5">
      <w:pPr>
        <w:suppressAutoHyphens w:val="0"/>
        <w:rPr>
          <w:b/>
          <w:sz w:val="28"/>
          <w:szCs w:val="22"/>
          <w:lang w:eastAsia="ru-RU"/>
        </w:rPr>
      </w:pP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 xml:space="preserve">      Жилищно-коммунальное хозяйство является особенной сферой, результаты реформирования и развития, которой в значительной степени влияют на уровень жизни населения. Основной показатель, по которому люди судят о работе жилищно-коммунальной сферы – это эффективность и качество предоставляемых услуг. Главный вопрос – это техническое переоснащение, обновление материальной базы, внедрение новых энергосберегающих технологий. В настоящее время коммунальное хозяйство определило цель в проведение единой политики реформирования, которое определяет основные задачи приоритетов, масштабов и механизмов реформирования и модернизации коммунального хозяйства, а также снижение эксплуатационных затрат на производство услуг.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 xml:space="preserve">     Для осуществления указанных целей предприятие оказывает жилищно-коммунальные услуги населению, бюджетным и хозрасчётным предприятиям: водоснабжение, тракторные услуги, благоустройство. Услуги по предоставлению данным абонентам предоставляются в срок и в полном объёме.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 xml:space="preserve">     Муниципальное унитарное предприятие «Рассвет» получило в хозяйственное ведение имущество и осуществляет самостоятельную деятельность, действует на принципах хозяйственного расчёта, отвечает за результаты своей производственно – финансовой деятельности и выполнение налоговых обязательств. Основной задачей для предприятия ЖКХ – обеспечение бесперебойной подачей холодной воды населению и предприятиям находящихся в Ножовском поселении.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 xml:space="preserve">  МУП ЖКХ "Рассвет" предоставляет услуги по холодному водоснабжению жителям и организациям Ножовского сельского поселения (количество хозяйств по населению – 845, организации – 25).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 xml:space="preserve">    На данный момент оснащение приборами индивидуального учета холодного водоснабжения жилого сектора Ножовского с/п составляет – 89% (743 хозяйств).</w:t>
      </w:r>
    </w:p>
    <w:p w:rsidR="006C63D5" w:rsidRPr="006C63D5" w:rsidRDefault="006C63D5" w:rsidP="006C63D5">
      <w:pPr>
        <w:suppressAutoHyphens w:val="0"/>
        <w:spacing w:before="240"/>
        <w:jc w:val="both"/>
        <w:rPr>
          <w:highlight w:val="yellow"/>
          <w:lang w:eastAsia="ru-RU"/>
        </w:rPr>
      </w:pPr>
      <w:r w:rsidRPr="006C63D5">
        <w:rPr>
          <w:lang w:eastAsia="ru-RU"/>
        </w:rPr>
        <w:t xml:space="preserve">   За 2017г. было поднято 73340 куб.м. и подано в сеть 67990 куб.м. питьевой воды (организациям – 4552 куб.м., населению – 63438 куб.м.).           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 xml:space="preserve">    Потери составили 5350,13 куб.м. –171486,37 руб. (1 квартал 2017г. –1273 куб.м. (36063,22 руб.); 2 квартал 2017г. – 1316,33 куб.м. (37921,75 руб.); 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  <w:r w:rsidRPr="006C63D5">
        <w:rPr>
          <w:lang w:eastAsia="ru-RU"/>
        </w:rPr>
        <w:t>3 квартал 2017г.- 1410,30 куб.м. (41547,44 руб.); 4 квартал 2017г.-1350,50 куб.м. (39785,73 руб.).</w:t>
      </w:r>
    </w:p>
    <w:p w:rsidR="006C63D5" w:rsidRPr="006C63D5" w:rsidRDefault="006C63D5" w:rsidP="006C63D5">
      <w:pPr>
        <w:suppressAutoHyphens w:val="0"/>
        <w:spacing w:before="240"/>
        <w:jc w:val="both"/>
        <w:rPr>
          <w:lang w:eastAsia="ru-RU"/>
        </w:rPr>
      </w:pPr>
      <w:r w:rsidRPr="006C63D5">
        <w:rPr>
          <w:lang w:eastAsia="ru-RU"/>
        </w:rPr>
        <w:t xml:space="preserve">  Незапланированные потери произошли в связи с устранением порывов в количестве 24 шт., и в связи с повышением тарифов на потребляемую электроэнергию.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</w:p>
    <w:p w:rsidR="006C63D5" w:rsidRPr="006C63D5" w:rsidRDefault="006C63D5" w:rsidP="006C63D5">
      <w:pPr>
        <w:suppressAutoHyphens w:val="0"/>
        <w:jc w:val="center"/>
        <w:rPr>
          <w:b/>
          <w:lang w:eastAsia="ru-RU"/>
        </w:rPr>
      </w:pPr>
      <w:r w:rsidRPr="006C63D5">
        <w:rPr>
          <w:b/>
          <w:lang w:eastAsia="ru-RU"/>
        </w:rPr>
        <w:t>Финансовые показатели за 2017г.: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</w:p>
    <w:tbl>
      <w:tblPr>
        <w:tblStyle w:val="1"/>
        <w:tblW w:w="103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269"/>
        <w:gridCol w:w="1389"/>
        <w:gridCol w:w="1417"/>
        <w:gridCol w:w="1305"/>
        <w:gridCol w:w="1310"/>
        <w:gridCol w:w="1383"/>
        <w:gridCol w:w="1242"/>
      </w:tblGrid>
      <w:tr w:rsidR="006C63D5" w:rsidRPr="006C63D5" w:rsidTr="00E646AC">
        <w:trPr>
          <w:cantSplit/>
          <w:trHeight w:val="1145"/>
        </w:trPr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Показатель</w:t>
            </w:r>
          </w:p>
        </w:tc>
        <w:tc>
          <w:tcPr>
            <w:tcW w:w="1389" w:type="dxa"/>
            <w:textDirection w:val="btLr"/>
          </w:tcPr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Доходы, руб.</w:t>
            </w: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За 2017г.</w:t>
            </w: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textDirection w:val="btLr"/>
          </w:tcPr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Расходы, руб.</w:t>
            </w: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За 2017г.</w:t>
            </w: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D5" w:rsidRPr="006C63D5" w:rsidRDefault="006C63D5" w:rsidP="006C63D5">
            <w:pPr>
              <w:suppressAutoHyphens w:val="0"/>
              <w:ind w:left="113" w:right="113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" w:right="113"/>
              <w:rPr>
                <w:lang w:eastAsia="ru-RU"/>
              </w:rPr>
            </w:pPr>
            <w:r w:rsidRPr="006C63D5">
              <w:rPr>
                <w:lang w:eastAsia="ru-RU"/>
              </w:rPr>
              <w:t>+Прибыль -(убыток)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D5" w:rsidRPr="006C63D5" w:rsidRDefault="006C63D5" w:rsidP="006C63D5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rPr>
                <w:rFonts w:asciiTheme="minorHAnsi" w:eastAsiaTheme="minorEastAsia" w:hAnsiTheme="minorHAnsi" w:cstheme="minorBidi"/>
                <w:lang w:eastAsia="ru-RU"/>
              </w:rPr>
            </w:pPr>
          </w:p>
          <w:tbl>
            <w:tblPr>
              <w:tblStyle w:val="1"/>
              <w:tblpPr w:leftFromText="180" w:rightFromText="180" w:vertAnchor="text" w:tblpY="1"/>
              <w:tblOverlap w:val="never"/>
              <w:tblW w:w="112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22"/>
              <w:gridCol w:w="4493"/>
            </w:tblGrid>
            <w:tr w:rsidR="006C63D5" w:rsidRPr="006C63D5" w:rsidTr="00E646AC">
              <w:trPr>
                <w:cantSplit/>
                <w:trHeight w:val="1134"/>
              </w:trPr>
              <w:tc>
                <w:tcPr>
                  <w:tcW w:w="6722" w:type="dxa"/>
                  <w:textDirection w:val="btLr"/>
                </w:tcPr>
                <w:p w:rsidR="006C63D5" w:rsidRPr="006C63D5" w:rsidRDefault="006C63D5" w:rsidP="006C63D5">
                  <w:pPr>
                    <w:suppressAutoHyphens w:val="0"/>
                    <w:ind w:left="113" w:right="113"/>
                    <w:jc w:val="center"/>
                    <w:rPr>
                      <w:lang w:eastAsia="ru-RU"/>
                    </w:rPr>
                  </w:pPr>
                </w:p>
                <w:p w:rsidR="006C63D5" w:rsidRPr="006C63D5" w:rsidRDefault="006C63D5" w:rsidP="006C63D5">
                  <w:pPr>
                    <w:suppressAutoHyphens w:val="0"/>
                    <w:ind w:left="113" w:right="113"/>
                    <w:jc w:val="center"/>
                    <w:rPr>
                      <w:lang w:eastAsia="ru-RU"/>
                    </w:rPr>
                  </w:pPr>
                  <w:r w:rsidRPr="006C63D5">
                    <w:rPr>
                      <w:lang w:eastAsia="ru-RU"/>
                    </w:rPr>
                    <w:t>Доходы, руб.</w:t>
                  </w:r>
                </w:p>
                <w:p w:rsidR="006C63D5" w:rsidRPr="006C63D5" w:rsidRDefault="006C63D5" w:rsidP="006C63D5">
                  <w:pPr>
                    <w:suppressAutoHyphens w:val="0"/>
                    <w:ind w:left="113" w:right="113"/>
                    <w:jc w:val="center"/>
                    <w:rPr>
                      <w:lang w:eastAsia="ru-RU"/>
                    </w:rPr>
                  </w:pPr>
                  <w:r w:rsidRPr="006C63D5">
                    <w:rPr>
                      <w:lang w:eastAsia="ru-RU"/>
                    </w:rPr>
                    <w:t xml:space="preserve">  За 2016г.</w:t>
                  </w:r>
                </w:p>
                <w:p w:rsidR="006C63D5" w:rsidRPr="006C63D5" w:rsidRDefault="006C63D5" w:rsidP="006C63D5">
                  <w:pPr>
                    <w:suppressAutoHyphens w:val="0"/>
                    <w:ind w:left="113" w:right="113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4493" w:type="dxa"/>
                  <w:textDirection w:val="btLr"/>
                </w:tcPr>
                <w:p w:rsidR="006C63D5" w:rsidRPr="006C63D5" w:rsidRDefault="006C63D5" w:rsidP="006C63D5">
                  <w:pPr>
                    <w:suppressAutoHyphens w:val="0"/>
                    <w:ind w:left="113" w:right="113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Расходы За 2016г.</w:t>
            </w: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  <w:textDirection w:val="btLr"/>
          </w:tcPr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" w:right="113"/>
              <w:jc w:val="center"/>
              <w:rPr>
                <w:lang w:eastAsia="ru-RU"/>
              </w:rPr>
            </w:pPr>
            <w:r w:rsidRPr="006C63D5">
              <w:rPr>
                <w:lang w:eastAsia="ru-RU"/>
              </w:rPr>
              <w:t>+Прибыль-(Убыток)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Водоснабжение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1993662,83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2210467,38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-216804,55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2130377,32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2353661,52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-223284,20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Тракторные услуги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198795,92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107571,41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+91224,51</w:t>
            </w:r>
          </w:p>
        </w:tc>
        <w:tc>
          <w:tcPr>
            <w:tcW w:w="1310" w:type="dxa"/>
            <w:tcBorders>
              <w:top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30208,53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19234,18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+10974,35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lastRenderedPageBreak/>
              <w:t>Дороги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77165,40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63619,32</w:t>
            </w:r>
          </w:p>
        </w:tc>
        <w:tc>
          <w:tcPr>
            <w:tcW w:w="1305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+13546,08</w:t>
            </w:r>
          </w:p>
        </w:tc>
        <w:tc>
          <w:tcPr>
            <w:tcW w:w="1310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430506,50</w:t>
            </w:r>
          </w:p>
        </w:tc>
        <w:tc>
          <w:tcPr>
            <w:tcW w:w="1383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371863,41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+58643,36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Благоустройство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263481,24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133969,47</w:t>
            </w:r>
          </w:p>
        </w:tc>
        <w:tc>
          <w:tcPr>
            <w:tcW w:w="1305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+129511,77</w:t>
            </w:r>
          </w:p>
        </w:tc>
        <w:tc>
          <w:tcPr>
            <w:tcW w:w="1310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62579,05</w:t>
            </w:r>
          </w:p>
        </w:tc>
        <w:tc>
          <w:tcPr>
            <w:tcW w:w="1383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80371,90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-17792,85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Сбор и вывоз мусора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5935,80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2751,54</w:t>
            </w:r>
          </w:p>
        </w:tc>
        <w:tc>
          <w:tcPr>
            <w:tcW w:w="1305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+3184,26</w:t>
            </w:r>
          </w:p>
        </w:tc>
        <w:tc>
          <w:tcPr>
            <w:tcW w:w="1310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58832,10</w:t>
            </w:r>
          </w:p>
        </w:tc>
        <w:tc>
          <w:tcPr>
            <w:tcW w:w="1383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42429,30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+16402,80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Санкционированные свалки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111903,20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41857,45</w:t>
            </w:r>
          </w:p>
        </w:tc>
        <w:tc>
          <w:tcPr>
            <w:tcW w:w="1305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+70045,75</w:t>
            </w:r>
          </w:p>
        </w:tc>
        <w:tc>
          <w:tcPr>
            <w:tcW w:w="1310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83000,00</w:t>
            </w:r>
          </w:p>
        </w:tc>
        <w:tc>
          <w:tcPr>
            <w:tcW w:w="1383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89464,33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-6464,33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Новый водопровод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7207,10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1711,08</w:t>
            </w:r>
          </w:p>
        </w:tc>
        <w:tc>
          <w:tcPr>
            <w:tcW w:w="1305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+5496,02</w:t>
            </w:r>
          </w:p>
        </w:tc>
        <w:tc>
          <w:tcPr>
            <w:tcW w:w="1310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54600,00</w:t>
            </w:r>
          </w:p>
        </w:tc>
        <w:tc>
          <w:tcPr>
            <w:tcW w:w="1383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highlight w:val="yellow"/>
                <w:lang w:eastAsia="ru-RU"/>
              </w:rPr>
            </w:pPr>
            <w:r w:rsidRPr="006C63D5">
              <w:rPr>
                <w:lang w:eastAsia="ru-RU"/>
              </w:rPr>
              <w:t>56697,90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-2097,9</w:t>
            </w:r>
          </w:p>
        </w:tc>
      </w:tr>
      <w:tr w:rsidR="006C63D5" w:rsidRPr="006C63D5" w:rsidTr="00E646AC">
        <w:tc>
          <w:tcPr>
            <w:tcW w:w="226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ИТОГО</w:t>
            </w:r>
          </w:p>
        </w:tc>
        <w:tc>
          <w:tcPr>
            <w:tcW w:w="1389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2658151,49</w:t>
            </w:r>
          </w:p>
        </w:tc>
        <w:tc>
          <w:tcPr>
            <w:tcW w:w="141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2561947,65</w:t>
            </w:r>
          </w:p>
        </w:tc>
        <w:tc>
          <w:tcPr>
            <w:tcW w:w="1305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+96203,84</w:t>
            </w:r>
          </w:p>
        </w:tc>
        <w:tc>
          <w:tcPr>
            <w:tcW w:w="1310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2850103,50</w:t>
            </w:r>
          </w:p>
        </w:tc>
        <w:tc>
          <w:tcPr>
            <w:tcW w:w="1383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3013722,54</w:t>
            </w:r>
          </w:p>
        </w:tc>
        <w:tc>
          <w:tcPr>
            <w:tcW w:w="1242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-163619,04</w:t>
            </w:r>
          </w:p>
        </w:tc>
      </w:tr>
    </w:tbl>
    <w:p w:rsidR="006C63D5" w:rsidRPr="006C63D5" w:rsidRDefault="006C63D5" w:rsidP="006C63D5">
      <w:pPr>
        <w:suppressAutoHyphens w:val="0"/>
        <w:rPr>
          <w:rFonts w:eastAsiaTheme="minorEastAsia"/>
          <w:b/>
          <w:u w:val="single"/>
          <w:lang w:eastAsia="ru-RU"/>
        </w:rPr>
      </w:pPr>
      <w:r w:rsidRPr="006C63D5">
        <w:rPr>
          <w:rFonts w:eastAsiaTheme="minorEastAsia"/>
          <w:lang w:eastAsia="ru-RU"/>
        </w:rPr>
        <w:t xml:space="preserve">  </w:t>
      </w:r>
      <w:r w:rsidRPr="006C63D5">
        <w:rPr>
          <w:rFonts w:eastAsiaTheme="minorEastAsia"/>
          <w:b/>
          <w:u w:val="single"/>
          <w:lang w:eastAsia="ru-RU"/>
        </w:rPr>
        <w:t>Дебиторская задолженность – 381 тыс. руб., в т. ч.: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 покупатели и заказчики – 42,6 тыс. руб.:</w:t>
      </w:r>
    </w:p>
    <w:p w:rsidR="006C63D5" w:rsidRPr="006C63D5" w:rsidRDefault="006C63D5" w:rsidP="006C63D5">
      <w:pPr>
        <w:suppressAutoHyphens w:val="0"/>
        <w:ind w:left="851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текущая –30,6 тыс.руб.</w:t>
      </w:r>
    </w:p>
    <w:p w:rsidR="006C63D5" w:rsidRPr="006C63D5" w:rsidRDefault="006C63D5" w:rsidP="006C63D5">
      <w:pPr>
        <w:suppressAutoHyphens w:val="0"/>
        <w:ind w:left="851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просроченная –12 тыс.руб.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 прочие дебиторы (население) -  338,4 тыс. руб.:</w:t>
      </w:r>
    </w:p>
    <w:p w:rsidR="006C63D5" w:rsidRPr="006C63D5" w:rsidRDefault="006C63D5" w:rsidP="006C63D5">
      <w:pPr>
        <w:suppressAutoHyphens w:val="0"/>
        <w:ind w:left="851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текущая –157,5 тыс.руб.</w:t>
      </w:r>
    </w:p>
    <w:p w:rsidR="006C63D5" w:rsidRPr="006C63D5" w:rsidRDefault="006C63D5" w:rsidP="006C63D5">
      <w:pPr>
        <w:suppressAutoHyphens w:val="0"/>
        <w:ind w:left="851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просроченная –180,9 тыс.руб.</w:t>
      </w:r>
    </w:p>
    <w:p w:rsidR="006C63D5" w:rsidRPr="006C63D5" w:rsidRDefault="006C63D5" w:rsidP="006C63D5">
      <w:pPr>
        <w:suppressAutoHyphens w:val="0"/>
        <w:ind w:left="851" w:hanging="491"/>
        <w:rPr>
          <w:rFonts w:eastAsiaTheme="minorEastAsia"/>
          <w:lang w:eastAsia="ru-RU"/>
        </w:rPr>
      </w:pPr>
    </w:p>
    <w:p w:rsidR="006C63D5" w:rsidRPr="006C63D5" w:rsidRDefault="006C63D5" w:rsidP="006C63D5">
      <w:pPr>
        <w:suppressAutoHyphens w:val="0"/>
        <w:ind w:left="851" w:hanging="491"/>
        <w:rPr>
          <w:rFonts w:eastAsiaTheme="minorEastAsia"/>
          <w:b/>
          <w:lang w:eastAsia="ru-RU"/>
        </w:rPr>
      </w:pPr>
      <w:r w:rsidRPr="006C63D5">
        <w:rPr>
          <w:rFonts w:eastAsiaTheme="minorEastAsia"/>
          <w:lang w:eastAsia="ru-RU"/>
        </w:rPr>
        <w:t xml:space="preserve"> </w:t>
      </w:r>
      <w:r w:rsidRPr="006C63D5">
        <w:rPr>
          <w:rFonts w:eastAsiaTheme="minorEastAsia"/>
          <w:b/>
          <w:lang w:eastAsia="ru-RU"/>
        </w:rPr>
        <w:t>Кредиторская задолженность – 383,76 тыс. руб., в т. ч.: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 поставщики и подрядчики – 38,6 тыс.руб.: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текущая – 2,7 тыс.руб.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просроченная – 35,9 тыс.руб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 задолженность по налогам и сборам –237,1 тыс.руб.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текущая –69 тыс.руб.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просроченная –168,1 тыс.руб.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задолженность перед гос.внебюд.фондами – 59,3 тыс.руб.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текущая –33,6 тыс.руб.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просроченная –25,7 тыс.руб.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задолженность перед персоналом организации – 38,2 тыс.руб.</w:t>
      </w:r>
    </w:p>
    <w:p w:rsidR="006C63D5" w:rsidRPr="006C63D5" w:rsidRDefault="006C63D5" w:rsidP="006C63D5">
      <w:pPr>
        <w:suppressAutoHyphens w:val="0"/>
        <w:ind w:left="993" w:hanging="491"/>
        <w:rPr>
          <w:rFonts w:eastAsiaTheme="minorEastAsia"/>
          <w:lang w:eastAsia="ru-RU"/>
        </w:rPr>
      </w:pPr>
      <w:r w:rsidRPr="006C63D5">
        <w:rPr>
          <w:rFonts w:eastAsiaTheme="minorEastAsia"/>
          <w:lang w:eastAsia="ru-RU"/>
        </w:rPr>
        <w:t xml:space="preserve">           текущая – 38,2 тыс.руб.</w:t>
      </w:r>
    </w:p>
    <w:p w:rsidR="006C63D5" w:rsidRPr="006C63D5" w:rsidRDefault="006C63D5" w:rsidP="006C63D5">
      <w:pPr>
        <w:suppressAutoHyphens w:val="0"/>
        <w:rPr>
          <w:rFonts w:eastAsiaTheme="minorEastAsia"/>
          <w:b/>
          <w:lang w:eastAsia="ru-RU"/>
        </w:rPr>
      </w:pPr>
      <w:r w:rsidRPr="006C63D5">
        <w:rPr>
          <w:rFonts w:eastAsiaTheme="minorEastAsia"/>
          <w:b/>
          <w:lang w:eastAsia="ru-RU"/>
        </w:rPr>
        <w:t>- прочие кредиторы (исполнительные листы) -10,5 тыс. руб.</w:t>
      </w:r>
    </w:p>
    <w:p w:rsidR="006C63D5" w:rsidRPr="006C63D5" w:rsidRDefault="006C63D5" w:rsidP="006C63D5">
      <w:pPr>
        <w:suppressAutoHyphens w:val="0"/>
        <w:ind w:left="993" w:hanging="491"/>
        <w:rPr>
          <w:lang w:eastAsia="ru-RU"/>
        </w:rPr>
      </w:pPr>
      <w:r w:rsidRPr="006C63D5">
        <w:rPr>
          <w:rFonts w:eastAsiaTheme="minorEastAsia"/>
          <w:lang w:eastAsia="ru-RU"/>
        </w:rPr>
        <w:t xml:space="preserve">                 текущая – 10,5 тыс.руб.</w:t>
      </w:r>
    </w:p>
    <w:p w:rsidR="006C63D5" w:rsidRPr="006C63D5" w:rsidRDefault="006C63D5" w:rsidP="006C63D5">
      <w:pPr>
        <w:suppressAutoHyphens w:val="0"/>
        <w:jc w:val="center"/>
        <w:rPr>
          <w:b/>
          <w:lang w:eastAsia="ru-RU"/>
        </w:rPr>
      </w:pPr>
      <w:r w:rsidRPr="006C63D5">
        <w:rPr>
          <w:b/>
          <w:lang w:eastAsia="ru-RU"/>
        </w:rPr>
        <w:t>Производственные показатели за 2017г.:</w:t>
      </w:r>
    </w:p>
    <w:p w:rsidR="006C63D5" w:rsidRPr="006C63D5" w:rsidRDefault="006C63D5" w:rsidP="006C63D5">
      <w:pPr>
        <w:suppressAutoHyphens w:val="0"/>
        <w:jc w:val="both"/>
        <w:rPr>
          <w:lang w:eastAsia="ru-RU"/>
        </w:rPr>
      </w:pPr>
    </w:p>
    <w:tbl>
      <w:tblPr>
        <w:tblStyle w:val="1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6947"/>
        <w:gridCol w:w="3118"/>
      </w:tblGrid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6C63D5">
              <w:rPr>
                <w:rFonts w:eastAsiaTheme="minorEastAsia"/>
                <w:b/>
                <w:lang w:eastAsia="ru-RU"/>
              </w:rPr>
              <w:t>Наименование проведённых работ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lang w:eastAsia="ru-RU"/>
              </w:rPr>
            </w:pPr>
            <w:r w:rsidRPr="006C63D5">
              <w:rPr>
                <w:rFonts w:eastAsiaTheme="minorEastAsia"/>
                <w:b/>
                <w:lang w:eastAsia="ru-RU"/>
              </w:rPr>
              <w:t>Место проведения работ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1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Расчистка дорог от снега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2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Работы по благоустройству села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3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Тракторные услуги населению, организациям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4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 xml:space="preserve">Противоледовая подсыпка дорожного покрытия 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5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Содержание прорубей в зимнее время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6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Замена и ремонт электрооборудования (ЭКМ), кабелей на водонапорных башнях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Ножовка, ул. Маяковского, ул. Нефтяников, ул. Полевая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7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Сбор и отвоз ТКО на санкционированную свалку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8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Буртование свалок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9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Работы по установке и ремонту дорожных знаков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10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Работа с абонентами (физ. и юр. – лицами), имеющими задолженность по абонентской плате за водоснабжение (составление судебных претензий)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lastRenderedPageBreak/>
              <w:t>11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Опломбировка и проверка индивидуальных приборов учета население и организации (115-хозяйств население, 17-организации)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12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Текущий ремонт спецтехники (МТЗ-82, УАЗ 315192, ДТ-75)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</w:t>
            </w: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13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Устранение порывов на водопроводе в колодцах (замена крана, тройника, трубы ПЭ)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с. Верх-Рождество: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Школьная (2 порыва),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 xml:space="preserve">ул. Большая (2 порыв) 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Рождественская (5 порыва);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9 мая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с. Ножовка: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М. Горького (2 порыва),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К. Маркса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Мира (3 порыва)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Ленина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Труда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Быта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Маяковского (2 порыва)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Нефтяников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д. Поздышки: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Зеленая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Садовая (1 порыв)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заменили 21 кран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HAnsi"/>
                <w:lang w:eastAsia="en-US"/>
              </w:rPr>
            </w:pPr>
            <w:r w:rsidRPr="006C63D5">
              <w:rPr>
                <w:rFonts w:eastAsiaTheme="minorHAnsi"/>
                <w:lang w:eastAsia="en-US"/>
              </w:rPr>
              <w:t>ул. Чапаева</w:t>
            </w:r>
          </w:p>
        </w:tc>
      </w:tr>
      <w:tr w:rsidR="006C63D5" w:rsidRPr="006C63D5" w:rsidTr="00E646AC">
        <w:trPr>
          <w:trHeight w:val="688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14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Артезианская скважина № 2016 (отогрев подающей трубы, подключение дополнительного насоса; устранение порыва в колодце, замена крана)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Ножовка, ул. Ленина</w:t>
            </w:r>
          </w:p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</w:p>
        </w:tc>
      </w:tr>
      <w:tr w:rsidR="006C63D5" w:rsidRPr="006C63D5" w:rsidTr="00E646AC"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b/>
                <w:i/>
                <w:lang w:eastAsia="ru-RU"/>
              </w:rPr>
              <w:t>15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Работа с нормативной и иной документацией МУП ЖКХ «Рассвет» (для лицензии)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16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Очистка кладбища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lang w:eastAsia="ru-RU"/>
              </w:rPr>
            </w:pPr>
            <w:r w:rsidRPr="006C63D5">
              <w:rPr>
                <w:lang w:eastAsia="ru-RU"/>
              </w:rPr>
              <w:t>с. Ножовка, ул. Полевая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17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Установка ограждения санитарной зоны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lang w:eastAsia="ru-RU"/>
              </w:rPr>
            </w:pPr>
            <w:r w:rsidRPr="006C63D5">
              <w:rPr>
                <w:lang w:eastAsia="ru-RU"/>
              </w:rPr>
              <w:t>д. Поздышки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18</w:t>
            </w:r>
          </w:p>
          <w:p w:rsidR="006C63D5" w:rsidRPr="006C63D5" w:rsidRDefault="006C63D5" w:rsidP="006C63D5">
            <w:pPr>
              <w:suppressAutoHyphens w:val="0"/>
              <w:ind w:left="1134"/>
              <w:jc w:val="center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4"/>
              <w:jc w:val="center"/>
              <w:rPr>
                <w:lang w:eastAsia="ru-RU"/>
              </w:rPr>
            </w:pP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lang w:eastAsia="ru-RU"/>
              </w:rPr>
            </w:pPr>
            <w:r w:rsidRPr="006C63D5">
              <w:rPr>
                <w:lang w:eastAsia="ru-RU"/>
              </w:rPr>
              <w:t>Покос травы тримером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с. Ножовка: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Энтузиастов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Мира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Юбилейная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с. Верх-Рождество: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плотина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д. Поздышки: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скважина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19</w:t>
            </w:r>
          </w:p>
          <w:p w:rsidR="006C63D5" w:rsidRPr="006C63D5" w:rsidRDefault="006C63D5" w:rsidP="006C63D5">
            <w:pPr>
              <w:suppressAutoHyphens w:val="0"/>
              <w:ind w:left="1134"/>
              <w:jc w:val="center"/>
              <w:rPr>
                <w:lang w:eastAsia="ru-RU"/>
              </w:rPr>
            </w:pP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 xml:space="preserve">Ремонт мостика 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с. Ножовка, ул. Маяковского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20</w:t>
            </w:r>
          </w:p>
          <w:p w:rsidR="006C63D5" w:rsidRPr="006C63D5" w:rsidRDefault="006C63D5" w:rsidP="006C63D5">
            <w:pPr>
              <w:suppressAutoHyphens w:val="0"/>
              <w:ind w:left="1134"/>
              <w:jc w:val="center"/>
              <w:rPr>
                <w:lang w:eastAsia="ru-RU"/>
              </w:rPr>
            </w:pPr>
          </w:p>
          <w:p w:rsidR="006C63D5" w:rsidRPr="006C63D5" w:rsidRDefault="006C63D5" w:rsidP="006C63D5">
            <w:pPr>
              <w:suppressAutoHyphens w:val="0"/>
              <w:ind w:left="1134"/>
              <w:jc w:val="center"/>
              <w:rPr>
                <w:lang w:eastAsia="ru-RU"/>
              </w:rPr>
            </w:pP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Прокладка труб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с. Ножовка: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Пушкина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М. Горького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с. Верх-Рождество: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Школьная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Рождественская</w:t>
            </w:r>
          </w:p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ул. Большая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21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Планировка автомобильных дорог и прилегающих к ним территорий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lang w:eastAsia="ru-RU"/>
              </w:rPr>
            </w:pPr>
            <w:r w:rsidRPr="006C63D5">
              <w:rPr>
                <w:lang w:eastAsia="ru-RU"/>
              </w:rPr>
              <w:t>Ножовское с/п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lastRenderedPageBreak/>
              <w:t>22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b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Работа с абонентами (физическими и юридическими лицами), имеющими задолженность по абонентской плате за водоснабжение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jc w:val="both"/>
              <w:rPr>
                <w:b/>
                <w:lang w:eastAsia="ru-RU"/>
              </w:rPr>
            </w:pPr>
            <w:r w:rsidRPr="006C63D5">
              <w:rPr>
                <w:lang w:eastAsia="ru-RU"/>
              </w:rPr>
              <w:t>Ножовское с/п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23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Работа по установке водяных счётчиков и ремонту водопровода, находящегося в л/с у населения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b/>
                <w:i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Ножовское с/п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355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24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 xml:space="preserve">Установка мостика 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Ножовка, ул. Ленина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419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25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Отбор проб со скважин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lang w:eastAsia="ru-RU"/>
              </w:rPr>
              <w:t>Ножовское с/п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26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Утепление колодцев на скважинах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Верх-Рождество; с. Ножовка, ул. Нефтяников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463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27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Вырубка и установка новогодней елки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lang w:eastAsia="ru-RU"/>
              </w:rPr>
              <w:t>Ножовское с/п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424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28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Ремонт, заливка и расчистка катка от снега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29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Раскопка приямков на водопропускных трубах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Ножовка, ул. Ленина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30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Подсыпка дорожек на скважинах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 по ул. Нефтяников, ул. Ленина, ул. Маяковского, ул. Полевая; д. Поздышки по ул. Зеленая; с. Верх-Рождество по ул. Школьная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294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31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 xml:space="preserve">Обустройство и содержание прорубей 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Ножовка, с. Верх-Рождество</w:t>
            </w:r>
          </w:p>
        </w:tc>
      </w:tr>
      <w:tr w:rsidR="006C63D5" w:rsidRPr="006C63D5" w:rsidTr="00E646AC">
        <w:tblPrEx>
          <w:tblLook w:val="0000" w:firstRow="0" w:lastRow="0" w:firstColumn="0" w:lastColumn="0" w:noHBand="0" w:noVBand="0"/>
        </w:tblPrEx>
        <w:trPr>
          <w:trHeight w:val="604"/>
        </w:trPr>
        <w:tc>
          <w:tcPr>
            <w:tcW w:w="708" w:type="dxa"/>
          </w:tcPr>
          <w:p w:rsidR="006C63D5" w:rsidRPr="006C63D5" w:rsidRDefault="006C63D5" w:rsidP="006C63D5">
            <w:pPr>
              <w:suppressAutoHyphens w:val="0"/>
              <w:jc w:val="center"/>
              <w:rPr>
                <w:b/>
                <w:i/>
                <w:lang w:eastAsia="ru-RU"/>
              </w:rPr>
            </w:pPr>
            <w:r w:rsidRPr="006C63D5">
              <w:rPr>
                <w:b/>
                <w:i/>
                <w:lang w:eastAsia="ru-RU"/>
              </w:rPr>
              <w:t>32</w:t>
            </w:r>
          </w:p>
        </w:tc>
        <w:tc>
          <w:tcPr>
            <w:tcW w:w="6947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Обслуживание гидротехнического сооружения (ГТС)</w:t>
            </w:r>
          </w:p>
        </w:tc>
        <w:tc>
          <w:tcPr>
            <w:tcW w:w="3118" w:type="dxa"/>
          </w:tcPr>
          <w:p w:rsidR="006C63D5" w:rsidRPr="006C63D5" w:rsidRDefault="006C63D5" w:rsidP="006C63D5">
            <w:pPr>
              <w:suppressAutoHyphens w:val="0"/>
              <w:rPr>
                <w:rFonts w:eastAsiaTheme="minorEastAsia"/>
                <w:lang w:eastAsia="ru-RU"/>
              </w:rPr>
            </w:pPr>
            <w:r w:rsidRPr="006C63D5">
              <w:rPr>
                <w:rFonts w:eastAsiaTheme="minorEastAsia"/>
                <w:lang w:eastAsia="ru-RU"/>
              </w:rPr>
              <w:t>с. Ножовка, с. Верх-Рождество</w:t>
            </w:r>
          </w:p>
        </w:tc>
      </w:tr>
    </w:tbl>
    <w:p w:rsidR="006C63D5" w:rsidRPr="006C63D5" w:rsidRDefault="006C63D5" w:rsidP="006C63D5">
      <w:pPr>
        <w:suppressAutoHyphens w:val="0"/>
        <w:jc w:val="both"/>
        <w:rPr>
          <w:lang w:eastAsia="ru-RU"/>
        </w:rPr>
      </w:pPr>
    </w:p>
    <w:p w:rsidR="008048CB" w:rsidRPr="006C63D5" w:rsidRDefault="008048CB" w:rsidP="006C63D5"/>
    <w:sectPr w:rsidR="008048CB" w:rsidRPr="006C63D5" w:rsidSect="006C63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3C6" w:rsidRDefault="00EA33C6" w:rsidP="009E7A2D">
      <w:r>
        <w:separator/>
      </w:r>
    </w:p>
  </w:endnote>
  <w:endnote w:type="continuationSeparator" w:id="0">
    <w:p w:rsidR="00EA33C6" w:rsidRDefault="00EA33C6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3C6" w:rsidRDefault="00EA33C6" w:rsidP="009E7A2D">
      <w:r>
        <w:separator/>
      </w:r>
    </w:p>
  </w:footnote>
  <w:footnote w:type="continuationSeparator" w:id="0">
    <w:p w:rsidR="00EA33C6" w:rsidRDefault="00EA33C6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3F3C95"/>
    <w:rsid w:val="006C15E2"/>
    <w:rsid w:val="006C63D5"/>
    <w:rsid w:val="007A0E33"/>
    <w:rsid w:val="007D5554"/>
    <w:rsid w:val="008048CB"/>
    <w:rsid w:val="00860AA9"/>
    <w:rsid w:val="008E0CFB"/>
    <w:rsid w:val="009205EC"/>
    <w:rsid w:val="009E7A2D"/>
    <w:rsid w:val="00A12DC0"/>
    <w:rsid w:val="00A93A56"/>
    <w:rsid w:val="00BA0128"/>
    <w:rsid w:val="00BB7AED"/>
    <w:rsid w:val="00C03112"/>
    <w:rsid w:val="00CA79A1"/>
    <w:rsid w:val="00CF1F92"/>
    <w:rsid w:val="00D339E8"/>
    <w:rsid w:val="00D35F81"/>
    <w:rsid w:val="00E9331F"/>
    <w:rsid w:val="00EA33C6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A12DC0"/>
    <w:rPr>
      <w:i/>
      <w:iCs/>
    </w:rPr>
  </w:style>
  <w:style w:type="paragraph" w:styleId="a4">
    <w:name w:val="Normal (Web)"/>
    <w:basedOn w:val="a"/>
    <w:uiPriority w:val="99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15</cp:revision>
  <cp:lastPrinted>2019-09-10T04:50:00Z</cp:lastPrinted>
  <dcterms:created xsi:type="dcterms:W3CDTF">2019-09-09T10:32:00Z</dcterms:created>
  <dcterms:modified xsi:type="dcterms:W3CDTF">2019-09-12T11:26:00Z</dcterms:modified>
</cp:coreProperties>
</file>